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9690396"/>
      <w:bookmarkStart w:id="1" w:name="__DdeLink__442_1917706773"/>
      <w:bookmarkStart w:id="2" w:name="__DdeLink__440_683511074"/>
      <w:r>
        <w:rPr>
          <w:rStyle w:val="BookTitle"/>
          <w:rFonts w:cs="Times New Roman" w:ascii="Times New Roman" w:hAnsi="Times New Roman"/>
          <w:bCs w:val="false"/>
          <w:caps w:val="false"/>
          <w:smallCaps w:val="false"/>
          <w:color w:val="000000"/>
          <w:spacing w:val="0"/>
          <w:sz w:val="24"/>
          <w:szCs w:val="24"/>
        </w:rPr>
        <w:t>Questionário ‘Instrumento para Avaliação da Gestão do Conhecimento na Administração Pública</w:t>
      </w:r>
      <w:bookmarkStart w:id="3" w:name="_GoBack"/>
      <w:bookmarkEnd w:id="0"/>
      <w:bookmarkEnd w:id="1"/>
      <w:bookmarkEnd w:id="2"/>
      <w:bookmarkEnd w:id="3"/>
      <w:r>
        <w:rPr>
          <w:rStyle w:val="BookTitle"/>
          <w:rFonts w:cs="Times New Roman" w:ascii="Times New Roman" w:hAnsi="Times New Roman"/>
          <w:bCs w:val="false"/>
          <w:caps w:val="false"/>
          <w:smallCaps w:val="false"/>
          <w:color w:val="000000"/>
          <w:spacing w:val="0"/>
          <w:sz w:val="24"/>
          <w:szCs w:val="24"/>
        </w:rPr>
        <w:t>’ (BATISTA, 2016)</w:t>
      </w:r>
    </w:p>
    <w:p>
      <w:pPr>
        <w:pStyle w:val="Normal1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left" w:pos="3536" w:leader="none"/>
        </w:tabs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Escala 1 (a ser utilizada nos itens de 1 a 36 dos critérios de 1 a 6 e nos itens 37 e 38 do critério 7): </w:t>
      </w:r>
    </w:p>
    <w:tbl>
      <w:tblPr>
        <w:tblStyle w:val="TabelaSimples41"/>
        <w:tblW w:w="91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98"/>
        <w:gridCol w:w="1509"/>
      </w:tblGrid>
      <w:tr>
        <w:trPr>
          <w:trHeight w:val="39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Situação atual</w:t>
            </w:r>
          </w:p>
        </w:tc>
        <w:tc>
          <w:tcPr>
            <w:tcW w:w="1509" w:type="dxa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Escala de pontuação</w:t>
            </w:r>
          </w:p>
        </w:tc>
      </w:tr>
      <w:tr>
        <w:trPr>
          <w:trHeight w:val="39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/>
                <w:color w:val="00000A"/>
                <w:sz w:val="20"/>
                <w:szCs w:val="20"/>
                <w:lang w:eastAsia="en-US"/>
              </w:rPr>
              <w:t>As ações descritas são muito mal realizadas ou ainda não são realizadas</w:t>
            </w:r>
          </w:p>
        </w:tc>
        <w:tc>
          <w:tcPr>
            <w:tcW w:w="15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5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/>
                <w:color w:val="00000A"/>
                <w:sz w:val="20"/>
                <w:szCs w:val="20"/>
                <w:lang w:eastAsia="en-US"/>
              </w:rPr>
              <w:t>As ações descritas são mal realizadas</w:t>
            </w:r>
          </w:p>
        </w:tc>
        <w:tc>
          <w:tcPr>
            <w:tcW w:w="1509" w:type="dxa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39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/>
                <w:color w:val="00000A"/>
                <w:sz w:val="20"/>
                <w:szCs w:val="20"/>
                <w:lang w:eastAsia="en-US"/>
              </w:rPr>
              <w:t>As ações descritas são realizadas de forma adequada</w:t>
            </w:r>
          </w:p>
        </w:tc>
        <w:tc>
          <w:tcPr>
            <w:tcW w:w="15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75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/>
                <w:color w:val="00000A"/>
                <w:sz w:val="20"/>
                <w:szCs w:val="20"/>
                <w:lang w:eastAsia="en-US"/>
              </w:rPr>
              <w:t>As ações descritas são bem realizadas</w:t>
            </w:r>
          </w:p>
        </w:tc>
        <w:tc>
          <w:tcPr>
            <w:tcW w:w="1509" w:type="dxa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sz w:val="20"/>
                <w:szCs w:val="20"/>
                <w:lang w:eastAsia="en-US"/>
              </w:rPr>
              <w:t>4</w:t>
            </w:r>
          </w:p>
        </w:tc>
      </w:tr>
      <w:tr>
        <w:trPr>
          <w:trHeight w:val="39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/>
                <w:color w:val="00000A"/>
                <w:sz w:val="20"/>
                <w:szCs w:val="20"/>
                <w:lang w:eastAsia="en-US"/>
              </w:rPr>
              <w:t>As ações descritas são muito bem realizadas</w:t>
            </w:r>
          </w:p>
        </w:tc>
        <w:tc>
          <w:tcPr>
            <w:tcW w:w="15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sz w:val="20"/>
                <w:szCs w:val="20"/>
                <w:lang w:eastAsia="en-US"/>
              </w:rPr>
              <w:t>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2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6986"/>
        <w:gridCol w:w="1515"/>
      </w:tblGrid>
      <w:tr>
        <w:trPr>
          <w:trHeight w:val="501" w:hRule="atLeast"/>
        </w:trPr>
        <w:tc>
          <w:tcPr>
            <w:tcW w:w="7606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1.0: Liderança em Gestão do Conhecimento - GC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755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compartilha o conhecimento, a visão e a estratégia de GC fortemente alinhados com visão, missão e objetivos estratégicos da organização.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72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Arranjos organizacionais foram implantados para formalizar as iniciativas de GC (exemplos: uma unidade central de coordenação da gestão da informação/conhecimento; gestor chefe de gestão da informação/conhecimento; equipes de melhoria da qualidade; COPs; e redes de conhecimento).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Recursos financeiros são alocados nas iniciativas de GC.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tem uma política de proteção da informação e do conhecimento (exemplos: proteção da propriedade intelectual, segurança da informação e do conhecimento e política de acesso, integridade, autenticidade e sigilo das informações).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23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alta administração e as chefias intermediárias servem de modelo ao colocar em prática os valores de compartilhamento do conhecimento e de trabalho colaborativo. Elas passam mais tempo disseminando informação para suas equipes e facilitando o fluxo horizontal de informação entre suas equipes e equipes de outros departamentos/divisões/unidades.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alta administração e as chefias intermediárias promovem, reconhecem e recompensam a melhoria do desempenho, o aprendizado individual e organizacional, o compartilhamento de conhecimento e a criação do conhecimento e inovação.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2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6986"/>
        <w:gridCol w:w="1515"/>
      </w:tblGrid>
      <w:tr>
        <w:trPr>
          <w:trHeight w:val="503" w:hRule="atLeast"/>
        </w:trPr>
        <w:tc>
          <w:tcPr>
            <w:tcW w:w="760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2.0: Processo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145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define suas competências essenciais (capacidades importantes do ponto de vista estratégico que concede à organização vantagem comparativa) e as alinha à sua missão e aos objetivos da organização.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5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modela seus sistemas de trabalho e processos de apoio e finalísticos chave para agregar (“ao invés de criar”) valor ao cidadão-usuário e alcançar alto desempenho institucional.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12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modelagem de processos são contemplados os seguintes fatores: novas tecnologias, compartilhamento de conhecimento na organização, flexibilidade, eficiência, eficácia e efetividade social.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8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tem um sistema próprio para gerenciar situações de crise ou eventos imprevistos que assegura a continuidade das operações, prevenção e recuperação.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4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implementa e gerencia os processos de apoio e finalísticos chave para assegurar o atendimento dos requisitos do cidadão-usuário e a manutenção dos resultados da organização.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4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avalia e melhora continuamente seus processos de apoio e finalísticos para alcançar um melhor desempenho, reduzir a variação, melhorar produtos e serviços públicos e para manter-se atualizada com as práticas de excelência em gestão.</w:t>
            </w:r>
          </w:p>
        </w:tc>
        <w:tc>
          <w:tcPr>
            <w:tcW w:w="15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2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6985"/>
        <w:gridCol w:w="1517"/>
      </w:tblGrid>
      <w:tr>
        <w:trPr>
          <w:trHeight w:val="505" w:hRule="atLeast"/>
        </w:trPr>
        <w:tc>
          <w:tcPr>
            <w:tcW w:w="760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3.0: Pessoas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1284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 programas de educação e capacitação, assim como os de desenvolvimento de carreiras, ampliam o conhecimento, as habilidades e as capacidades do servidor público, servem de apoio para o alcance dos objetivos da organização e contribuem para o alto desempenho institucional.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16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dissemina de maneira sistemática informações sobre os benefícios, a política, a estratégia, o modelo, o plano e as ferramentas de GC para novos funcionários/servidores da organização.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organização tem processos formais de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mentoring, coaching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e tutoria.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conta com banco de competências dos seus servidores públicos.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colaboração e o compartilhamento do conhecimento são ativamente reconhecidos e recompensados/corrigidos.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0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do trabalho contempla a formação de pequenas equipes/grupos (exemplos: grupos de trabalho, comissões, círculos de qualidade, equipes de melhoria de processos de trabalho, equipes interfuncionais, equipes interdepartamentais, COPs) e a estrutura por processos para enfrentar as preocupações e os problemas no local de trabalho.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3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1"/>
        <w:gridCol w:w="6994"/>
        <w:gridCol w:w="3"/>
        <w:gridCol w:w="1517"/>
      </w:tblGrid>
      <w:tr>
        <w:trPr>
          <w:trHeight w:val="505" w:hRule="atLeast"/>
        </w:trPr>
        <w:tc>
          <w:tcPr>
            <w:tcW w:w="761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4.0: Tecnologia</w:t>
            </w:r>
          </w:p>
        </w:tc>
        <w:tc>
          <w:tcPr>
            <w:tcW w:w="152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1028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alta administração implantou uma infraestrutura de TI (exemplos: internet, intranet e sítio na Rede Mundial de Computadores (web) e dotou a organização com a estrutura necessária para facilitar a efetiva GC.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infraestrutura de TI está alinhada à estratégia de GC da organização.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2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Todas as pessoas da organização têm acesso a computador.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Todas as pessoas têm acesso à internet/intranet e a um endereço de e-mail.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 informações disponíveis no sítio da web/intranet são atualizadas regularmente.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8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intranet (ou uma rede similar) é usada como a principal fonte de comunicação em toda a organização como apoio à transferência de conhecimento e ao compartilhamento de informação.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3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1"/>
        <w:gridCol w:w="6995"/>
        <w:gridCol w:w="1517"/>
      </w:tblGrid>
      <w:tr>
        <w:trPr>
          <w:trHeight w:val="498" w:hRule="atLeast"/>
        </w:trPr>
        <w:tc>
          <w:tcPr>
            <w:tcW w:w="7616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5.0: Processos de conhecimento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764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tem processos sistemáticos de identificação, criação, armazenamento, compartilhamento e utilização do conhecimento.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conta com um mapa de conhecimento e distribui os ativos ou recursos de conhecimento por toda a organização.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 conhecimento adquirido após a execução de tarefas e a conclusão de projetos é registrado e compartilhado.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13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 conhecimento essencial de servidores públicos que estão saindo da organização é retido.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1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compartilha as melhores práticas e lições aprendidas por toda a organização para que não haja um constante “reinventar da roda” e retrabalho.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6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 atividades de benchmarking são realizadas dentro e fora da organização, os resultados são usados para melhorar o desempenho organizacional e criar novo conhecimento.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3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6997"/>
        <w:gridCol w:w="1517"/>
      </w:tblGrid>
      <w:tr>
        <w:trPr>
          <w:trHeight w:val="499" w:hRule="atLeast"/>
        </w:trPr>
        <w:tc>
          <w:tcPr>
            <w:tcW w:w="7616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6.0: Aprendizagem e inovação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502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articula e reforça continuamente como valores a aprendizagem e a inovação.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considera a atitude de assumir riscos ou o fato de cometer erros como oportunidades de aprendizagem desde que isso não ocorra repetidamente.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66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Equipes interfuncionais são formadas para resolver problemas ou lidar com situações preocupantes que ocorrem em diferentes unidades gerenciais da organização.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66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 pessoas sentem que recebem autonomia dos seus superiores hierárquicos e que suas ideias e contribuições são geralmente valorizadas pela organização.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 chefias intermediárias estão dispostas a usar novas ferramentas e métodos.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6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 pessoas são incentivadas a trabalhar junto com outros e a compartilhar informação.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3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6996"/>
        <w:gridCol w:w="1517"/>
      </w:tblGrid>
      <w:tr>
        <w:trPr>
          <w:trHeight w:val="498" w:hRule="atLeast"/>
        </w:trPr>
        <w:tc>
          <w:tcPr>
            <w:tcW w:w="7616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7.0: Resultados da GC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751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tem um histórico de sucesso na implementação da GC e de outras iniciativas de mudança que pode ser comprovado com resultados de indicadores de desempenho.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64" w:hRule="atLeast"/>
        </w:trPr>
        <w:tc>
          <w:tcPr>
            <w:tcW w:w="6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São utilizados indicadores para avaliar o impacto das contribuições e das iniciativas de GC nos resultados da organização.</w:t>
            </w:r>
          </w:p>
        </w:tc>
        <w:tc>
          <w:tcPr>
            <w:tcW w:w="15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1"/>
        <w:tabs>
          <w:tab w:val="left" w:pos="3536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Escala 2 (a ser utilizada nos itens de 39 a 42 do critério 7: resultados): </w:t>
      </w:r>
    </w:p>
    <w:tbl>
      <w:tblPr>
        <w:tblStyle w:val="TabelaSimples41"/>
        <w:tblW w:w="91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9"/>
        <w:gridCol w:w="1525"/>
      </w:tblGrid>
      <w:tr>
        <w:trPr>
          <w:trHeight w:val="4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Situação atual</w:t>
            </w:r>
          </w:p>
        </w:tc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Escala de pontuação</w:t>
            </w:r>
          </w:p>
        </w:tc>
      </w:tr>
      <w:tr>
        <w:trPr>
          <w:trHeight w:val="4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000000" w:themeColor="text1"/>
                <w:sz w:val="20"/>
                <w:szCs w:val="20"/>
                <w:lang w:eastAsia="en-US"/>
              </w:rPr>
              <w:t>A organização não melhorou ou ainda não é possível comprovar melhorias por ausência de indicadores</w:t>
            </w:r>
          </w:p>
        </w:tc>
        <w:tc>
          <w:tcPr>
            <w:tcW w:w="152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467" w:hRule="atLeast"/>
        </w:trPr>
        <w:tc>
          <w:tcPr>
            <w:tcW w:w="76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000000" w:themeColor="text1"/>
                <w:sz w:val="20"/>
                <w:szCs w:val="20"/>
                <w:lang w:eastAsia="en-US"/>
              </w:rPr>
              <w:t>Houve melhoria nos resultados de alguns indicadores utilizados</w:t>
            </w:r>
          </w:p>
        </w:tc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4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000000" w:themeColor="text1"/>
                <w:sz w:val="20"/>
                <w:szCs w:val="20"/>
                <w:lang w:eastAsia="en-US"/>
              </w:rPr>
              <w:t>Houve melhoria nos resultados da maioria dos indicadores utilizados</w:t>
            </w:r>
          </w:p>
        </w:tc>
        <w:tc>
          <w:tcPr>
            <w:tcW w:w="152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467" w:hRule="atLeast"/>
        </w:trPr>
        <w:tc>
          <w:tcPr>
            <w:tcW w:w="76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000000" w:themeColor="text1"/>
                <w:sz w:val="20"/>
                <w:szCs w:val="20"/>
                <w:lang w:eastAsia="en-US"/>
              </w:rPr>
              <w:t>Houve melhoria em quase todos os indicadores utilizados</w:t>
            </w:r>
          </w:p>
        </w:tc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>
        <w:trPr>
          <w:trHeight w:val="4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000000" w:themeColor="text1"/>
                <w:sz w:val="20"/>
                <w:szCs w:val="20"/>
                <w:lang w:eastAsia="en-US"/>
              </w:rPr>
              <w:t>Houve melhoria em todos os indicadores utilizados</w:t>
            </w:r>
          </w:p>
        </w:tc>
        <w:tc>
          <w:tcPr>
            <w:tcW w:w="152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1"/>
              <w:tabs>
                <w:tab w:val="left" w:pos="3536" w:leader="none"/>
              </w:tabs>
              <w:spacing w:lineRule="auto" w: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1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7003"/>
        <w:gridCol w:w="2"/>
        <w:gridCol w:w="1519"/>
      </w:tblGrid>
      <w:tr>
        <w:trPr>
          <w:trHeight w:val="618" w:hRule="atLeast"/>
        </w:trPr>
        <w:tc>
          <w:tcPr>
            <w:tcW w:w="7623" w:type="dxa"/>
            <w:gridSpan w:val="3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Critério 7.0: Resultados da GC</w:t>
            </w:r>
          </w:p>
        </w:tc>
        <w:tc>
          <w:tcPr>
            <w:tcW w:w="151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996" w:hRule="atLeast"/>
        </w:trPr>
        <w:tc>
          <w:tcPr>
            <w:tcW w:w="6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0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melhorou – graças às contribuições e às iniciativas da GC – os resultados relativos aos indicadores de qualidade dos produtos e serviços.</w:t>
            </w:r>
          </w:p>
        </w:tc>
        <w:tc>
          <w:tcPr>
            <w:tcW w:w="1521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74" w:hRule="atLeast"/>
        </w:trPr>
        <w:tc>
          <w:tcPr>
            <w:tcW w:w="6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0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melhorou – graças às contribuições e às iniciativas de GC – os resultados relativos aos indicadores de eficiência.</w:t>
            </w:r>
          </w:p>
        </w:tc>
        <w:tc>
          <w:tcPr>
            <w:tcW w:w="1521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58" w:hRule="atLeast"/>
        </w:trPr>
        <w:tc>
          <w:tcPr>
            <w:tcW w:w="6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0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melhorou – graças às contribuições e às iniciativas de GC – os resultados relativos aos indicadores de efetividade social.</w:t>
            </w:r>
          </w:p>
        </w:tc>
        <w:tc>
          <w:tcPr>
            <w:tcW w:w="1521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96" w:hRule="atLeast"/>
        </w:trPr>
        <w:tc>
          <w:tcPr>
            <w:tcW w:w="6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0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organização melhorou – graças às contribuições e às iniciativas de GC – os resultados dos indicadores de legalidade, impessoalidade, publicidade, moralidade e desenvolvimento.</w:t>
            </w:r>
          </w:p>
        </w:tc>
        <w:tc>
          <w:tcPr>
            <w:tcW w:w="1521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spacing w:lineRule="auto" w:line="24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3994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rsid w:val="00822923"/>
    <w:pPr>
      <w:keepNext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000000"/>
      <w:sz w:val="40"/>
      <w:szCs w:val="40"/>
      <w:lang w:val="pt-BR" w:eastAsia="pt-BR" w:bidi="ar-SA"/>
    </w:rPr>
  </w:style>
  <w:style w:type="paragraph" w:styleId="Ttulo2">
    <w:name w:val="Heading 2"/>
    <w:basedOn w:val="Ttulo"/>
    <w:qFormat/>
    <w:rsid w:val="00822923"/>
    <w:pPr>
      <w:keepNext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000000"/>
      <w:sz w:val="32"/>
      <w:szCs w:val="32"/>
      <w:lang w:val="pt-BR" w:eastAsia="pt-BR" w:bidi="ar-SA"/>
    </w:rPr>
  </w:style>
  <w:style w:type="paragraph" w:styleId="Ttulo3">
    <w:name w:val="Heading 3"/>
    <w:basedOn w:val="Ttulo"/>
    <w:qFormat/>
    <w:rsid w:val="00822923"/>
    <w:pPr>
      <w:keepNext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pt-BR" w:bidi="ar-SA"/>
    </w:rPr>
  </w:style>
  <w:style w:type="paragraph" w:styleId="Ttulo4">
    <w:name w:val="Heading 4"/>
    <w:basedOn w:val="Ttulo"/>
    <w:link w:val="Ttulo4Char"/>
    <w:uiPriority w:val="9"/>
    <w:qFormat/>
    <w:rsid w:val="00822923"/>
    <w:pPr>
      <w:keepNext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pt-BR" w:bidi="ar-SA"/>
    </w:rPr>
  </w:style>
  <w:style w:type="paragraph" w:styleId="Ttulo5">
    <w:name w:val="Heading 5"/>
    <w:basedOn w:val="Ttulo"/>
    <w:qFormat/>
    <w:rsid w:val="00822923"/>
    <w:pPr>
      <w:keepNext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pt-BR" w:bidi="ar-SA"/>
    </w:rPr>
  </w:style>
  <w:style w:type="paragraph" w:styleId="Ttulo6">
    <w:name w:val="Heading 6"/>
    <w:basedOn w:val="Ttulo"/>
    <w:qFormat/>
    <w:rsid w:val="00822923"/>
    <w:pPr>
      <w:keepNext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a5c86"/>
    <w:pPr>
      <w:keepNext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a5c86"/>
    <w:pPr>
      <w:keepNext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6474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a5c86"/>
    <w:rPr>
      <w:b/>
      <w:bCs/>
      <w:smallCaps/>
      <w:color w:val="000000" w:themeColor="text1"/>
      <w:spacing w:val="5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ca5c86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qFormat/>
    <w:rsid w:val="00ca5c86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ca5c86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31aa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31aa9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67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729c"/>
    <w:rPr>
      <w:vertAlign w:val="superscript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e81e0d"/>
    <w:rPr>
      <w:rFonts w:ascii="Tahoma" w:hAnsi="Tahoma" w:cs="Tahoma"/>
      <w:sz w:val="16"/>
      <w:szCs w:val="16"/>
    </w:rPr>
  </w:style>
  <w:style w:type="character" w:styleId="Meno1" w:customStyle="1">
    <w:name w:val="Menção1"/>
    <w:basedOn w:val="DefaultParagraphFont"/>
    <w:uiPriority w:val="99"/>
    <w:semiHidden/>
    <w:unhideWhenUsed/>
    <w:qFormat/>
    <w:rsid w:val="00a005ca"/>
    <w:rPr>
      <w:color w:val="2B579A"/>
      <w:shd w:fill="E6E6E6" w:val="clea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366c87"/>
    <w:rPr>
      <w:color w:val="66666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00d89"/>
    <w:rPr>
      <w:color w:val="954F72" w:themeColor="followedHyperlink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782c66"/>
    <w:rPr>
      <w:color w:val="2B579A"/>
      <w:shd w:fill="E6E6E6" w:val="clear"/>
    </w:rPr>
  </w:style>
  <w:style w:type="character" w:styleId="Normal1Char" w:customStyle="1">
    <w:name w:val="Normal1 Char"/>
    <w:basedOn w:val="DefaultParagraphFont"/>
    <w:link w:val="Normal1"/>
    <w:qFormat/>
    <w:rsid w:val="00775cea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color w:val="000000"/>
      <w:sz w:val="24"/>
    </w:rPr>
  </w:style>
  <w:style w:type="character" w:styleId="ListLabel35">
    <w:name w:val="ListLabel 35"/>
    <w:qFormat/>
    <w:rPr>
      <w:color w:val="FF0000"/>
      <w:sz w:val="24"/>
    </w:rPr>
  </w:style>
  <w:style w:type="character" w:styleId="ListLabel36">
    <w:name w:val="ListLabel 36"/>
    <w:qFormat/>
    <w:rPr>
      <w:color w:val="FF0000"/>
      <w:sz w:val="24"/>
    </w:rPr>
  </w:style>
  <w:style w:type="character" w:styleId="ListLabel37">
    <w:name w:val="ListLabel 37"/>
    <w:qFormat/>
    <w:rPr>
      <w:color w:val="FF0000"/>
      <w:sz w:val="24"/>
    </w:rPr>
  </w:style>
  <w:style w:type="character" w:styleId="ListLabel38">
    <w:name w:val="ListLabel 38"/>
    <w:qFormat/>
    <w:rPr>
      <w:color w:val="FF0000"/>
      <w:sz w:val="24"/>
    </w:rPr>
  </w:style>
  <w:style w:type="character" w:styleId="ListLabel39">
    <w:name w:val="ListLabel 39"/>
    <w:qFormat/>
    <w:rPr>
      <w:color w:val="FF0000"/>
      <w:sz w:val="24"/>
    </w:rPr>
  </w:style>
  <w:style w:type="character" w:styleId="ListLabel40">
    <w:name w:val="ListLabel 40"/>
    <w:qFormat/>
    <w:rPr>
      <w:color w:val="FF0000"/>
      <w:sz w:val="24"/>
    </w:rPr>
  </w:style>
  <w:style w:type="character" w:styleId="ListLabel41">
    <w:name w:val="ListLabel 41"/>
    <w:qFormat/>
    <w:rPr>
      <w:color w:val="FF0000"/>
      <w:sz w:val="24"/>
    </w:rPr>
  </w:style>
  <w:style w:type="character" w:styleId="ListLabel42">
    <w:name w:val="ListLabel 42"/>
    <w:qFormat/>
    <w:rPr>
      <w:color w:val="000000"/>
      <w:sz w:val="24"/>
    </w:rPr>
  </w:style>
  <w:style w:type="character" w:styleId="ListLabel43">
    <w:name w:val="ListLabel 43"/>
    <w:qFormat/>
    <w:rPr>
      <w:color w:val="FF0000"/>
      <w:sz w:val="24"/>
    </w:rPr>
  </w:style>
  <w:style w:type="character" w:styleId="ListLabel44">
    <w:name w:val="ListLabel 44"/>
    <w:qFormat/>
    <w:rPr>
      <w:color w:val="FF0000"/>
      <w:sz w:val="24"/>
    </w:rPr>
  </w:style>
  <w:style w:type="character" w:styleId="ListLabel45">
    <w:name w:val="ListLabel 45"/>
    <w:qFormat/>
    <w:rPr>
      <w:color w:val="FF0000"/>
      <w:sz w:val="24"/>
    </w:rPr>
  </w:style>
  <w:style w:type="character" w:styleId="ListLabel46">
    <w:name w:val="ListLabel 46"/>
    <w:qFormat/>
    <w:rPr>
      <w:color w:val="FF0000"/>
      <w:sz w:val="24"/>
    </w:rPr>
  </w:style>
  <w:style w:type="character" w:styleId="ListLabel47">
    <w:name w:val="ListLabel 47"/>
    <w:qFormat/>
    <w:rPr>
      <w:color w:val="FF0000"/>
      <w:sz w:val="24"/>
    </w:rPr>
  </w:style>
  <w:style w:type="character" w:styleId="ListLabel48">
    <w:name w:val="ListLabel 48"/>
    <w:qFormat/>
    <w:rPr>
      <w:color w:val="FF0000"/>
      <w:sz w:val="24"/>
    </w:rPr>
  </w:style>
  <w:style w:type="character" w:styleId="ListLabel49">
    <w:name w:val="ListLabel 49"/>
    <w:qFormat/>
    <w:rPr>
      <w:color w:val="FF0000"/>
      <w:sz w:val="24"/>
    </w:rPr>
  </w:style>
  <w:style w:type="character" w:styleId="ListLabel50">
    <w:name w:val="ListLabel 50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link w:val="Normal1Char"/>
    <w:qFormat/>
    <w:rsid w:val="00ca5c86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822923"/>
    <w:pPr>
      <w:keepNext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qFormat/>
    <w:rsid w:val="00822923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TOCHeading">
    <w:name w:val="TOC Heading"/>
    <w:basedOn w:val="Ttulo1"/>
    <w:next w:val="Normal"/>
    <w:uiPriority w:val="39"/>
    <w:unhideWhenUsed/>
    <w:qFormat/>
    <w:rsid w:val="00264742"/>
    <w:pPr>
      <w:spacing w:before="480" w:after="0"/>
      <w:contextualSpacing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64742"/>
    <w:pPr>
      <w:spacing w:lineRule="auto" w:line="24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ca5c86"/>
    <w:pPr>
      <w:spacing w:before="0" w:after="100"/>
      <w:ind w:left="220" w:hanging="0"/>
    </w:pPr>
    <w:rPr>
      <w:rFonts w:ascii="Calibri" w:hAnsi="Calibri" w:eastAsia="" w:cs="" w:asciiTheme="minorHAnsi" w:cstheme="minorBidi" w:eastAsiaTheme="minorEastAsia" w:hAnsiTheme="minorHAnsi"/>
      <w:color w:val="00000A"/>
      <w:lang w:eastAsia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ca5c86"/>
    <w:pPr>
      <w:spacing w:before="0" w:after="100"/>
    </w:pPr>
    <w:rPr>
      <w:rFonts w:ascii="Calibri" w:hAnsi="Calibri" w:eastAsia="" w:cs="" w:asciiTheme="minorHAnsi" w:cstheme="minorBidi" w:eastAsiaTheme="minorEastAsia" w:hAnsiTheme="minorHAnsi"/>
      <w:color w:val="00000A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a5c86"/>
    <w:pPr>
      <w:spacing w:before="0" w:after="100"/>
      <w:ind w:left="440" w:hanging="0"/>
    </w:pPr>
    <w:rPr>
      <w:rFonts w:ascii="Calibri" w:hAnsi="Calibri" w:eastAsia="" w:cs="" w:asciiTheme="minorHAnsi" w:cstheme="minorBidi" w:eastAsiaTheme="minorEastAsia" w:hAnsiTheme="minorHAnsi"/>
      <w:color w:val="00000A"/>
      <w:lang w:eastAsia="en-US"/>
    </w:rPr>
  </w:style>
  <w:style w:type="paragraph" w:styleId="ListParagraph">
    <w:name w:val="List Paragraph"/>
    <w:basedOn w:val="Normal"/>
    <w:uiPriority w:val="34"/>
    <w:qFormat/>
    <w:rsid w:val="00ca5c86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031aa9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031aa9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16729c"/>
    <w:pPr>
      <w:spacing w:lineRule="auto" w:line="240"/>
    </w:pPr>
    <w:rPr>
      <w:sz w:val="20"/>
      <w:szCs w:val="20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e81e0d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5fe7"/>
    <w:pPr>
      <w:widowControl/>
      <w:bidi w:val="0"/>
      <w:spacing w:lineRule="auto" w:line="240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229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b714d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ListaClara-nfase11">
    <w:name w:val="Lista Clara - Ênfase 11"/>
    <w:basedOn w:val="Tabelanormal"/>
    <w:uiPriority w:val="61"/>
    <w:rsid w:val="009128be"/>
    <w:pPr>
      <w:spacing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customStyle="1" w:styleId="ListaClara-nfase12">
    <w:name w:val="Lista Clara - Ênfase 12"/>
    <w:basedOn w:val="Tabelanormal"/>
    <w:uiPriority w:val="61"/>
    <w:rsid w:val="00ca5c86"/>
    <w:pPr>
      <w:spacing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customStyle="1" w:styleId="TabelaSimples41">
    <w:name w:val="Tabela Simples 41"/>
    <w:basedOn w:val="Tabelanormal"/>
    <w:uiPriority w:val="44"/>
    <w:rsid w:val="00e81e0d"/>
    <w:pPr>
      <w:spacing w:line="240" w:lineRule="auto"/>
    </w:pPr>
    <w:rPr>
      <w:rFonts w:asciiTheme="minorHAnsi" w:hAnsiTheme="minorHAnsi" w:eastAsiaTheme="minorHAnsi" w:cstheme="minorBidi"/>
      <w:lang w:eastAsia="en-US"/>
      <w:color w:val="auto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ADC2-1F2F-4746-89EE-6A227679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4</Pages>
  <Words>1263</Word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2017-07-28T16:54:00Z</dcterms:created>
  <dc:creator/>
  <dc:description/>
  <dc:language>pt-BR</dc:language>
  <cp:lastModifiedBy/>
  <dcterms:modified xsi:type="dcterms:W3CDTF">2017-07-28T16:54:03Z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